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br/>
        <w:t>УТВЕРЖДЕНО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Наблюдательным советом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ГАУ РД «Центр поддержки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предпринимательства Республики Дагестан» Протокол № ___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от «____» _______________ 2016 г.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b/>
          <w:bCs/>
          <w:color w:val="000000"/>
          <w:sz w:val="21"/>
          <w:szCs w:val="21"/>
          <w:lang w:eastAsia="ru-RU"/>
        </w:rPr>
        <w:t>СТРАТЕГИЯ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b/>
          <w:bCs/>
          <w:color w:val="000000"/>
          <w:sz w:val="21"/>
          <w:szCs w:val="21"/>
          <w:lang w:eastAsia="ru-RU"/>
        </w:rPr>
        <w:t>(программа) развития Центра поддержки предпринимательства при ГАУ РД «ЦПП РД»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b/>
          <w:bCs/>
          <w:color w:val="000000"/>
          <w:sz w:val="21"/>
          <w:szCs w:val="21"/>
          <w:lang w:eastAsia="ru-RU"/>
        </w:rPr>
        <w:t>на 2017-2020 годы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  <w:t> 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  <w:t> 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b/>
          <w:bCs/>
          <w:color w:val="000000"/>
          <w:sz w:val="21"/>
          <w:szCs w:val="21"/>
          <w:lang w:eastAsia="ru-RU"/>
        </w:rPr>
        <w:t>г. Махачкала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b/>
          <w:bCs/>
          <w:color w:val="000000"/>
          <w:sz w:val="21"/>
          <w:szCs w:val="21"/>
          <w:lang w:eastAsia="ru-RU"/>
        </w:rPr>
        <w:t>Общие положения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Стратегия среднесрочного развития Центра поддержки предпринимательства до 2020 года разработана в целях реализации Федерального закона от 24 июля 2007 г. № 209-ФЗ «О развитии малого и среднего предпринимательства в Российской Федерации» и в соответствии с требованиями Приказа Минэкономразвития от 25 марта 2015 года №167 «Об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предпринимательства».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В России за последние годы сложилась достаточно разветвленная система государственной и общественной поддержки малого и среднего предпринимательства, стала формироваться институциональная инфраструктура, которая теоретически должна создавать более благоприятные условия для формирования и развития малых и средних предприятий. Прежде всего, речь идет о структурах и фондах поддержки предпринимательства, бизнес-инкубаторах, технологических парках и др. Действуют общественные объединения предпринимателей. Однако можно наблюдать, что действия этих организаций зачастую носят разрозненный и точечный характер воздействия на предпринимательскую среду, несмотря на единый стратегический ориентир – развитие предпринимательства в регионе.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 xml:space="preserve">На наш взгляд, решение проблемы с увеличением доли малого и среднего бизнеса в экономике кроется не только в расширении поддержки предпринимательской инициативы и </w:t>
      </w:r>
      <w:proofErr w:type="gramStart"/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выявлении</w:t>
      </w:r>
      <w:proofErr w:type="gramEnd"/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 xml:space="preserve"> и устранении административных барьеров при открытии и развитии бизнеса. Серьезной проблемой зачастую является недостаточная подготовленность предпринимателя к высокой конкуренции и риску, незнание специфики выбранной сферы деятельности. Поэтому от </w:t>
      </w: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lastRenderedPageBreak/>
        <w:t>грамотного построения процесса регистрации, ведения и развития собственного бизнеса каждым отдельно взятым предпринимателем зависит успех всего бизнес-сообщества.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Создание в 2016 году в Республике Дагестан Центра поддержки предпринимательства при ГАУ РД «ЦПП РД» обеспечило субъектам малого и среднего бизнеса доступ к структурированной актуальной информации, необходимой для ведения бизнеса в современных условиях.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Целью разработки Стратегии является определение среднесрочных стратегических направлений, целей и приоритетов развития Центра поддержки предпринимательства на период 2017-2020 гг.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В соответствии с поставленной целью в Стратегии: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- дана оценка современного состояния ключевых факторов развития Центра поддержки предпринимательства;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- сформулирована миссия Центра поддержки предпринимательства на среднесрочную перспективу;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-  определены и обоснованы цель и среднесрочные приоритетные направления развития Центра поддержки предпринимательства с учетом общих приоритетов развития предпринимательства в Республике Дагестан.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Реализация основных положений Стратегии позволит повысить эффективность государственной поддержки субъектов МСП; обеспечить содействие в формировании рыночных отношений на основе поддержки и развития предпринимательства и развития конкуренции; обеспечить создание новых рабочих мест; создать условия для содействия реализации инвестиционных проектов в Республике Дагестан.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b/>
          <w:bCs/>
          <w:color w:val="000000"/>
          <w:sz w:val="21"/>
          <w:szCs w:val="21"/>
          <w:lang w:eastAsia="ru-RU"/>
        </w:rPr>
        <w:t>Цели и задачи Центра поддержки предпринимательства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Основной целью Центра поддержки предпринимательства является: оказание комплекса информационно-консультационных услуг, направленных на содействие развитию субъектов малого и среднего предпринимательства и повышение эффективности их деятельности.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Задачи Центра: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- позиционирование Республики Дагестан как одной из площадок развития малого и среднего бизнеса Российской Федерации;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- развитие единого информационного центра для предпринимателей Республики Дагестан;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- расширение пула консалтинговых компаний, менторов, наставников и консультантов в узкоспециализированных сферах бизнеса (бизнес-тренеры, представители бизнес-среды и т.д.);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 xml:space="preserve">- привлечение к консультированию успешно действующих предпринимателей, высококвалифицированных специалистов, представителей инфраструктуры поддержки бизнеса (Агентство по предпринимательству и инвестициям Республики Дагестан, Налоговая служба, Пенсионный фонд, Фонд социального страхования, Министерство труда и социальной защиты Республики Дагестан, </w:t>
      </w:r>
      <w:proofErr w:type="spellStart"/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Дагестанстат</w:t>
      </w:r>
      <w:proofErr w:type="spellEnd"/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, Бизнес-инкубатор Республики Дагестан, банковские и страховые компании, образовательные учреждения и др.);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- оказание консультационной поддержки начинающим и действующим предпринимателям;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lastRenderedPageBreak/>
        <w:t>- предоставление возможности выбора доступных образовательных программ и информационных модулей, повышающих уровень профессиональных компетенций предпринимателей;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- обеспечение возможности личностного и профессионального роста предпринимателей;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 xml:space="preserve">- стимулирование повышения интереса предпринимателей к самообразованию и повышению профессиональной компетентности, и, </w:t>
      </w:r>
      <w:proofErr w:type="gramStart"/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как  следствие</w:t>
      </w:r>
      <w:proofErr w:type="gramEnd"/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, повышению производительности личного труда и деятельности организации в целом;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- развитие независимой коммуникационной площадки для неформального общения и обсуждения актуальных проблем предпринимательской среды;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- отслеживание активности предпринимателей в процессе самообразования;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- выявление предпринимателей с активной общественной позицией, способных и готовых к решению острых проблем бизнеса в регионе и стране.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Целевая аудитория программы: зарегистрированные субъекты малого и среднего бизнеса – юридические лица и индивидуальные предприниматели, потенциальные предприниматели.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b/>
          <w:bCs/>
          <w:color w:val="000000"/>
          <w:sz w:val="21"/>
          <w:szCs w:val="21"/>
          <w:lang w:eastAsia="ru-RU"/>
        </w:rPr>
        <w:t>Направления деятельности Центра поддержки предпринимательства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Центром поддержки предпринимательства в 2017-2020 годах будут осуществляться следующие направления деятельности: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- организация систем мер информационной, маркетинговой и юридической поддержки субъектов малого и среднего предпринимательства в соответствии с приоритетными направлениями деятельности Центра.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- предоставление субъектам малого и среднего предпринимательства консультационных услуг по широкому спектру вопросов предпринимательской деятельности: по вопросам финансового планирования, маркетингового сопровождения деятельности и бизнес-планированию, правового обеспечения деятельности, вопросам информационного сопровождения, по подбору персонала и вопросам применения трудового законодательства Российской Федерации, предоставление информации о возможностях получения кредитных и иных финансовых ресурсов, антикризисный консалтинг, выявление текущих потребностей и проблем субъектов малого и среднего предпринимательства, влияющих на их конкурентоспособность, иных консультационных услуг в целях содействия развитию деятельности субъектов малого и среднего предпринимательства;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- реализация мероприятий, направленных на популяризацию предпринимательства и начала собственного дела, в том числе путем организации и проведения вебинаров, «круглых столов», конференций, семинаров, иных публичных мероприятий, а также издания информационных пособий;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- организация и проведение обучающих мероприятий, направленных на повышение квалификации сотрудников субъектов малого и среднего предпринимательства по вопросам осуществления предпринимательской деятельности, в том числе по вопросам начала осуществления предпринимательской деятельности, ведения бухгалтерского и налогового учета, управления персоналом, освоения новых рынков сбыта;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- работа центра оперативной поддержки предпринимательства («горячей линии»).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- обновление (актуализация) информации о работе Центра поддержки предпринимательства в разделах, созданных на официальном сайте Центра cppdag.ru.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lastRenderedPageBreak/>
        <w:t>Приоритетами Центра поддержки предпринимательства на среднесрочный период являются:</w:t>
      </w:r>
    </w:p>
    <w:p w:rsidR="0023064F" w:rsidRPr="0023064F" w:rsidRDefault="0023064F" w:rsidP="0023064F">
      <w:pPr>
        <w:numPr>
          <w:ilvl w:val="0"/>
          <w:numId w:val="1"/>
        </w:numPr>
        <w:shd w:val="clear" w:color="auto" w:fill="F5F5F5"/>
        <w:spacing w:after="0" w:line="480" w:lineRule="auto"/>
        <w:jc w:val="both"/>
        <w:rPr>
          <w:rFonts w:ascii="Roboto Slab" w:eastAsia="Times New Roman" w:hAnsi="Roboto Slab" w:cs="Times New Roman"/>
          <w:color w:val="777777"/>
          <w:sz w:val="24"/>
          <w:szCs w:val="24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обеспечение благоприятных условий для развития предпринимательства в Республике Дагестан;</w:t>
      </w:r>
    </w:p>
    <w:p w:rsidR="0023064F" w:rsidRPr="0023064F" w:rsidRDefault="0023064F" w:rsidP="0023064F">
      <w:pPr>
        <w:numPr>
          <w:ilvl w:val="0"/>
          <w:numId w:val="1"/>
        </w:numPr>
        <w:shd w:val="clear" w:color="auto" w:fill="F5F5F5"/>
        <w:spacing w:after="0" w:line="480" w:lineRule="auto"/>
        <w:jc w:val="both"/>
        <w:rPr>
          <w:rFonts w:ascii="Roboto Slab" w:eastAsia="Times New Roman" w:hAnsi="Roboto Slab" w:cs="Times New Roman"/>
          <w:color w:val="777777"/>
          <w:sz w:val="24"/>
          <w:szCs w:val="24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 xml:space="preserve">содействие </w:t>
      </w:r>
      <w:proofErr w:type="gramStart"/>
      <w:r w:rsidRPr="0023064F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увеличению количества субъектов МСП и доли</w:t>
      </w:r>
      <w:proofErr w:type="gramEnd"/>
      <w:r w:rsidRPr="0023064F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 xml:space="preserve"> производимых региональными субъектами МСП товаров (работ, услуг) в объеме внутреннего регионального продукта и областного экспорта;</w:t>
      </w:r>
    </w:p>
    <w:p w:rsidR="0023064F" w:rsidRPr="0023064F" w:rsidRDefault="0023064F" w:rsidP="0023064F">
      <w:pPr>
        <w:numPr>
          <w:ilvl w:val="0"/>
          <w:numId w:val="1"/>
        </w:numPr>
        <w:shd w:val="clear" w:color="auto" w:fill="F5F5F5"/>
        <w:spacing w:after="0" w:line="480" w:lineRule="auto"/>
        <w:jc w:val="both"/>
        <w:rPr>
          <w:rFonts w:ascii="Roboto Slab" w:eastAsia="Times New Roman" w:hAnsi="Roboto Slab" w:cs="Times New Roman"/>
          <w:color w:val="777777"/>
          <w:sz w:val="24"/>
          <w:szCs w:val="24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4"/>
          <w:szCs w:val="24"/>
          <w:lang w:eastAsia="ru-RU"/>
        </w:rPr>
        <w:t>участие в обеспечении занятости населения.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b/>
          <w:bCs/>
          <w:color w:val="000000"/>
          <w:sz w:val="21"/>
          <w:szCs w:val="21"/>
          <w:lang w:eastAsia="ru-RU"/>
        </w:rPr>
        <w:t>Плановые показатели деятельности Центра поддержки предпринимательства до 2020 г.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910"/>
        <w:gridCol w:w="1546"/>
        <w:gridCol w:w="842"/>
        <w:gridCol w:w="842"/>
        <w:gridCol w:w="842"/>
        <w:gridCol w:w="842"/>
      </w:tblGrid>
      <w:tr w:rsidR="0023064F" w:rsidRPr="0023064F" w:rsidTr="0023064F">
        <w:tc>
          <w:tcPr>
            <w:tcW w:w="540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97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560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b/>
                <w:bCs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85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b/>
                <w:bCs/>
                <w:color w:val="000000"/>
                <w:sz w:val="21"/>
                <w:szCs w:val="21"/>
                <w:lang w:eastAsia="ru-RU"/>
              </w:rPr>
              <w:t>2017</w:t>
            </w:r>
          </w:p>
          <w:p w:rsidR="0023064F" w:rsidRPr="0023064F" w:rsidRDefault="0023064F" w:rsidP="00230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b/>
                <w:bCs/>
                <w:color w:val="000000"/>
                <w:sz w:val="21"/>
                <w:szCs w:val="21"/>
                <w:lang w:eastAsia="ru-RU"/>
              </w:rPr>
              <w:t>2018</w:t>
            </w:r>
          </w:p>
          <w:p w:rsidR="0023064F" w:rsidRPr="0023064F" w:rsidRDefault="0023064F" w:rsidP="00230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b/>
                <w:bCs/>
                <w:color w:val="000000"/>
                <w:sz w:val="21"/>
                <w:szCs w:val="21"/>
                <w:lang w:eastAsia="ru-RU"/>
              </w:rPr>
              <w:t>2019</w:t>
            </w:r>
          </w:p>
          <w:p w:rsidR="0023064F" w:rsidRPr="0023064F" w:rsidRDefault="0023064F" w:rsidP="00230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b/>
                <w:bCs/>
                <w:color w:val="000000"/>
                <w:sz w:val="21"/>
                <w:szCs w:val="21"/>
                <w:lang w:eastAsia="ru-RU"/>
              </w:rPr>
              <w:t>2020</w:t>
            </w:r>
          </w:p>
          <w:p w:rsidR="0023064F" w:rsidRPr="0023064F" w:rsidRDefault="0023064F" w:rsidP="0023064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год</w:t>
            </w:r>
          </w:p>
        </w:tc>
      </w:tr>
      <w:tr w:rsidR="0023064F" w:rsidRPr="0023064F" w:rsidTr="0023064F">
        <w:tc>
          <w:tcPr>
            <w:tcW w:w="540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7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Количество проведенных консультаций для СМСП</w:t>
            </w:r>
          </w:p>
        </w:tc>
        <w:tc>
          <w:tcPr>
            <w:tcW w:w="1560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85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3 900</w:t>
            </w:r>
          </w:p>
        </w:tc>
        <w:tc>
          <w:tcPr>
            <w:tcW w:w="85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3 925</w:t>
            </w:r>
          </w:p>
        </w:tc>
        <w:tc>
          <w:tcPr>
            <w:tcW w:w="85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3 950</w:t>
            </w:r>
          </w:p>
        </w:tc>
        <w:tc>
          <w:tcPr>
            <w:tcW w:w="85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4 000</w:t>
            </w:r>
          </w:p>
        </w:tc>
      </w:tr>
      <w:tr w:rsidR="0023064F" w:rsidRPr="0023064F" w:rsidTr="0023064F">
        <w:tc>
          <w:tcPr>
            <w:tcW w:w="540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7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Количество проведенных мероприятий для СМСП</w:t>
            </w:r>
          </w:p>
        </w:tc>
        <w:tc>
          <w:tcPr>
            <w:tcW w:w="1560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85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85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85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</w:tr>
      <w:tr w:rsidR="0023064F" w:rsidRPr="0023064F" w:rsidTr="0023064F">
        <w:tc>
          <w:tcPr>
            <w:tcW w:w="540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7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Количество СМСП, воспользовавшихся услугами Центра</w:t>
            </w:r>
          </w:p>
        </w:tc>
        <w:tc>
          <w:tcPr>
            <w:tcW w:w="1560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85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85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85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855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064F" w:rsidRPr="0023064F" w:rsidRDefault="0023064F" w:rsidP="0023064F">
            <w:pPr>
              <w:spacing w:after="0" w:line="240" w:lineRule="auto"/>
              <w:rPr>
                <w:rFonts w:ascii="Roboto Slab" w:eastAsia="Times New Roman" w:hAnsi="Roboto Slab" w:cs="Times New Roman"/>
                <w:color w:val="777777"/>
                <w:sz w:val="21"/>
                <w:szCs w:val="21"/>
                <w:lang w:eastAsia="ru-RU"/>
              </w:rPr>
            </w:pPr>
            <w:r w:rsidRPr="0023064F">
              <w:rPr>
                <w:rFonts w:ascii="Roboto Slab" w:eastAsia="Times New Roman" w:hAnsi="Roboto Slab" w:cs="Times New Roman"/>
                <w:color w:val="000000"/>
                <w:sz w:val="21"/>
                <w:szCs w:val="21"/>
                <w:lang w:eastAsia="ru-RU"/>
              </w:rPr>
              <w:t>1450</w:t>
            </w:r>
          </w:p>
        </w:tc>
      </w:tr>
    </w:tbl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  <w:t> 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  <w:t> 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Центр поддержки предпринимательства в своей работе планирует продолжить сотрудничество со следующими органами государственной власти Республики Дагестан, органами местного самоуправления, а также иными организациями, образующими инфраструктуру поддержки субъектов малого и среднего предпринимательства в регионе.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000000"/>
          <w:sz w:val="21"/>
          <w:szCs w:val="21"/>
          <w:lang w:eastAsia="ru-RU"/>
        </w:rPr>
        <w:t>С учетом финансовых возможностей и результатов реализации в Стратегию могут вноситься изменения и дополнения в порядке, установленном действующим законодательством.</w:t>
      </w:r>
    </w:p>
    <w:p w:rsidR="0023064F" w:rsidRPr="0023064F" w:rsidRDefault="0023064F" w:rsidP="0023064F">
      <w:pPr>
        <w:shd w:val="clear" w:color="auto" w:fill="F5F5F5"/>
        <w:spacing w:before="100" w:beforeAutospacing="1" w:after="100" w:afterAutospacing="1" w:line="240" w:lineRule="auto"/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</w:pPr>
      <w:r w:rsidRPr="0023064F">
        <w:rPr>
          <w:rFonts w:ascii="Roboto Slab" w:eastAsia="Times New Roman" w:hAnsi="Roboto Slab" w:cs="Times New Roman"/>
          <w:color w:val="777777"/>
          <w:sz w:val="21"/>
          <w:szCs w:val="21"/>
          <w:lang w:eastAsia="ru-RU"/>
        </w:rPr>
        <w:t> </w:t>
      </w:r>
    </w:p>
    <w:p w:rsidR="00BA4F4B" w:rsidRDefault="00BA4F4B">
      <w:bookmarkStart w:id="0" w:name="_GoBack"/>
      <w:bookmarkEnd w:id="0"/>
    </w:p>
    <w:sectPr w:rsidR="00BA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791"/>
    <w:multiLevelType w:val="multilevel"/>
    <w:tmpl w:val="5CF6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4F"/>
    <w:rsid w:val="0023064F"/>
    <w:rsid w:val="00BA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0C7E1-9630-41AE-BFB3-390B9AAE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1350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Deja-Vu Deja-Vu</dc:creator>
  <cp:keywords/>
  <dc:description/>
  <cp:lastModifiedBy>Deja-Vu Deja-Vu</cp:lastModifiedBy>
  <cp:revision>1</cp:revision>
  <dcterms:created xsi:type="dcterms:W3CDTF">2021-08-01T14:49:00Z</dcterms:created>
  <dcterms:modified xsi:type="dcterms:W3CDTF">2021-08-01T14:49:00Z</dcterms:modified>
</cp:coreProperties>
</file>